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/>
          <w:sz w:val="18"/>
          <w:szCs w:val="18"/>
          <w:lang w:eastAsia="zh-CN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b/>
          <w:bCs/>
          <w:sz w:val="36"/>
          <w:szCs w:val="36"/>
          <w:lang w:eastAsia="zh-CN"/>
        </w:rPr>
        <w:t>企业简章</w:t>
      </w:r>
    </w:p>
    <w:tbl>
      <w:tblPr>
        <w:tblStyle w:val="3"/>
        <w:tblW w:w="9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018"/>
        <w:gridCol w:w="128"/>
        <w:gridCol w:w="1006"/>
        <w:gridCol w:w="320"/>
        <w:gridCol w:w="530"/>
        <w:gridCol w:w="1701"/>
        <w:gridCol w:w="1276"/>
        <w:gridCol w:w="2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南京垦荒人信息科技有限公司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所属行业</w:t>
            </w: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单位性质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负责部门</w:t>
            </w: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人事部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单位地址</w:t>
            </w:r>
          </w:p>
        </w:tc>
        <w:tc>
          <w:tcPr>
            <w:tcW w:w="793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南京市雨花台区凤集大道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负责人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郭梦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 话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18801593797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传 真</w:t>
            </w: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电子信箱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773834922@qq.com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QQ</w:t>
            </w: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773834922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0" w:hRule="atLeast"/>
          <w:jc w:val="center"/>
        </w:trPr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单位简介</w:t>
            </w:r>
          </w:p>
        </w:tc>
        <w:tc>
          <w:tcPr>
            <w:tcW w:w="7935" w:type="dxa"/>
            <w:gridSpan w:val="7"/>
            <w:shd w:val="clear" w:color="auto" w:fill="auto"/>
            <w:vAlign w:val="top"/>
          </w:tcPr>
          <w:p>
            <w:pPr>
              <w:ind w:firstLine="540" w:firstLineChars="20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15"/>
                <w:sz w:val="24"/>
                <w:szCs w:val="24"/>
                <w:shd w:val="clear" w:color="auto" w:fill="FFFFFF"/>
                <w:lang w:eastAsia="zh-CN"/>
              </w:rPr>
              <w:t>垦荒人是一家面向全球开展系列原产地、优品、甄选食品的经营推广企业。秉承“原产地、优品、甄选”的经营理念和“原生原长、精益求精、中华精粹、万家共享”的品牌使命，为中国消费者提供天然、健康、安全食品和消费渠道，力求为消费者创造高品质生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zh-Hans" w:eastAsia="zh-Han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/>
              </w:rPr>
              <w:t>2011年12月26日，垦荒人于六朝古都南京成立了第一家店面，六年多的时间奠定了垦荒人在业界举足轻重的地位，现已成立200多家店面，遍及全国24个省，80个城市，未来，垦荒人预计覆盖全国所有县级以上城市，建立起“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zh-Hans" w:eastAsia="zh-Hans"/>
              </w:rPr>
              <w:t>上游建设原产地工厂和基地、中间建设物流、下游实现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/>
              </w:rPr>
              <w:t>2000-3000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zh-Hans" w:eastAsia="zh-Hans"/>
              </w:rPr>
              <w:t>家以上店面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/>
              </w:rPr>
              <w:t>”的联动规模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zh-Hans" w:eastAsia="zh-Hans"/>
              </w:rPr>
              <w:t>，并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/>
              </w:rPr>
              <w:t>不断完善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zh-Hans" w:eastAsia="zh-Hans"/>
              </w:rPr>
              <w:t>电子商务平台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zh-Hans"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/>
              </w:rPr>
              <w:t>组建成熟的“线上线下一体化”的经营体制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zh-Hans" w:eastAsia="zh-Hans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/>
              </w:rPr>
              <w:t>垦荒人集全球之精，呈匠心之作，拥有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zh-Hans" w:eastAsia="zh-Hans"/>
              </w:rPr>
              <w:t>包括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/>
              </w:rPr>
              <w:t>垦荒人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zh-Hans" w:eastAsia="zh-Hans"/>
              </w:rPr>
              <w:t>稻花香、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zh-Hans" w:eastAsia="zh-CN"/>
              </w:rPr>
              <w:t>垦荒人长粒香、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/>
              </w:rPr>
              <w:t>垦荒人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zh-Hans" w:eastAsia="zh-Hans"/>
              </w:rPr>
              <w:t>宁夏枸杞、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/>
              </w:rPr>
              <w:t>垦荒人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zh-Hans" w:eastAsia="zh-Hans"/>
              </w:rPr>
              <w:t>荞麦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/>
              </w:rPr>
              <w:t>系列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zh-Hans" w:eastAsia="zh-Hans"/>
              </w:rPr>
              <w:t>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/>
              </w:rPr>
              <w:t>垦荒人蓝莓系列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zh-Hans" w:eastAsia="zh-Hans"/>
              </w:rPr>
              <w:t>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/>
              </w:rPr>
              <w:t>自主产品百余种，已涉足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zh-Hans" w:eastAsia="zh-Hans"/>
              </w:rPr>
              <w:t>宁夏自治区、新疆自治区、内蒙古自治区、四川彝族大凉山、安徽大别山区、三秦大地陕西、澳大利亚等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/>
              </w:rPr>
              <w:t>全球多个原产地，真正做到了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zh-Hans" w:eastAsia="zh-Hans"/>
              </w:rPr>
              <w:t>以“原产地直采”的方式践行着对消费者的承诺，“立足中国，放眼全球，优中选优”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zh-Hans"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zh-Hans" w:eastAsia="zh-Hans"/>
              </w:rPr>
              <w:t>力求将全球原产地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zh-CN" w:eastAsia="zh-CN"/>
              </w:rPr>
              <w:t>最好的食品通过垦荒人的销售窗口惠及到全国各地的消费者，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zh-Hans" w:eastAsia="zh-Hans"/>
              </w:rPr>
              <w:t>为全球食品的地域融合发展做出巨大的贡献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zh-CN" w:eastAsia="zh-CN"/>
              </w:rPr>
              <w:t>。</w:t>
            </w:r>
          </w:p>
          <w:p>
            <w:pPr>
              <w:pStyle w:val="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ind w:firstLine="56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 xml:space="preserve"> 我司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/>
              </w:rPr>
              <w:t>正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处于快速发展期，规模不断扩大，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/>
              </w:rPr>
              <w:t>在此，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热诚欢迎各位应届毕业生和有识之士的加盟，为我们美好的明天一起奋斗！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2" w:type="dxa"/>
            <w:vMerge w:val="restart"/>
            <w:vAlign w:val="center"/>
          </w:tcPr>
          <w:p>
            <w:pPr>
              <w:spacing w:line="320" w:lineRule="exact"/>
              <w:jc w:val="both"/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连锁部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招聘职位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20" w:lineRule="exact"/>
              <w:ind w:firstLine="210" w:firstLineChars="100"/>
              <w:jc w:val="both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储备店长</w:t>
            </w: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  <w:t>20人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48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岗位要求：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连锁经营管理等相关专业（条件优秀者，非专业也可）反应敏捷、表达能力强，具有较强的沟通能力及交际技巧，具有亲和力；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72" w:type="dxa"/>
            <w:vMerge w:val="continue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薪资范围</w:t>
            </w:r>
          </w:p>
        </w:tc>
        <w:tc>
          <w:tcPr>
            <w:tcW w:w="7807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3000-6500/月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72" w:type="dxa"/>
            <w:vMerge w:val="continue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薪资构成</w:t>
            </w:r>
          </w:p>
        </w:tc>
        <w:tc>
          <w:tcPr>
            <w:tcW w:w="7807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基本工资+奖金+营业额提成+交通、通讯补助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572" w:type="dxa"/>
            <w:vMerge w:val="continue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个人职业发展状况描述</w:t>
            </w:r>
          </w:p>
        </w:tc>
        <w:tc>
          <w:tcPr>
            <w:tcW w:w="7807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储备店长→连锁店店长→连锁部部长→连锁部经理→连锁部总监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572" w:type="dxa"/>
            <w:vMerge w:val="restart"/>
            <w:vAlign w:val="top"/>
          </w:tcPr>
          <w:p>
            <w:pPr>
              <w:spacing w:line="320" w:lineRule="exact"/>
              <w:jc w:val="left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行政部门</w:t>
            </w:r>
          </w:p>
          <w:p>
            <w:pPr>
              <w:spacing w:line="320" w:lineRule="exact"/>
              <w:jc w:val="left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</w:tc>
        <w:tc>
          <w:tcPr>
            <w:tcW w:w="1146" w:type="dxa"/>
            <w:gridSpan w:val="2"/>
            <w:vMerge w:val="restart"/>
            <w:vAlign w:val="top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both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招聘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职位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人事专员（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  <w:t>20人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48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岗位要求：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工商管理、行政管理、人力资源管理、市场营销、会计等相关专业（条件优秀者，非专业也可）；能吃苦耐劳，有一定沟通能力、语言组织能力、亲和力；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2" w:type="dxa"/>
            <w:vMerge w:val="continue"/>
            <w:vAlign w:val="top"/>
          </w:tcPr>
          <w:p>
            <w:pPr>
              <w:spacing w:line="320" w:lineRule="exact"/>
              <w:jc w:val="left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</w:tc>
        <w:tc>
          <w:tcPr>
            <w:tcW w:w="1146" w:type="dxa"/>
            <w:gridSpan w:val="2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活动策划</w:t>
            </w: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  <w:t>20人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481" w:type="dxa"/>
            <w:gridSpan w:val="4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岗位要求：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广告、广播电视编导等相关专业（条件优秀者，非专业也可）普通话过关，思维敏捷，善于与人沟通，良好的团队合作精神和高度的责任感；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72" w:type="dxa"/>
            <w:vMerge w:val="continue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46" w:type="dxa"/>
            <w:gridSpan w:val="2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文案</w:t>
            </w: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  <w:t>5人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481" w:type="dxa"/>
            <w:gridSpan w:val="4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岗位要求：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广告、传媒、中文、汉语言文学、广播电视编导等相关专业（条件优秀者，非专业也可）；文案能力强，能够策略、计划、流程等准确、简洁地表达出来；熟悉使用PPT，有敏锐的观察力、有扎实的软文功底，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72" w:type="dxa"/>
            <w:vMerge w:val="continue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46" w:type="dxa"/>
            <w:gridSpan w:val="2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后期制作</w:t>
            </w: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  <w:t>5人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481" w:type="dxa"/>
            <w:gridSpan w:val="4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岗位要求：</w:t>
            </w:r>
            <w:r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  <w:t>新媒体动画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、广播电视编导、</w:t>
            </w:r>
            <w:r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  <w:t>动漫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、计算机多媒体等相关专业（条件优秀者，非专业也可）；熟练使用Photoshop，Premiere，Ae、Edius等后期非编制作软件；希望你有梦想有目标，吃苦耐劳，坚持努力。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572" w:type="dxa"/>
            <w:vMerge w:val="continue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46" w:type="dxa"/>
            <w:gridSpan w:val="2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平面设计</w:t>
            </w: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  <w:t>5人)</w:t>
            </w:r>
          </w:p>
        </w:tc>
        <w:tc>
          <w:tcPr>
            <w:tcW w:w="6481" w:type="dxa"/>
            <w:gridSpan w:val="4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岗位要求：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广告学、美术或艺术设计、平面设计等相关专业者优先（条件优秀者，非专业也可）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善于学习，责任心强，具有团队合作精神及良好的沟通能力，工作细致，善于沟通，熟练掌握PS,AI等绘图软件，以及熟悉CDR,ID,CAD等。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572" w:type="dxa"/>
            <w:vMerge w:val="continue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46" w:type="dxa"/>
            <w:gridSpan w:val="2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出纳</w:t>
            </w: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  <w:t>10人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481" w:type="dxa"/>
            <w:gridSpan w:val="4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岗位要求：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财务相关专业，大专以上学历；有会计从业资格证书，认真细致，爱岗敬业，吃苦耐劳，有良好的职业操守；熟练应用财务及Office办公软件。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572" w:type="dxa"/>
            <w:vMerge w:val="continue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4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客服专员</w:t>
            </w: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  <w:t>10人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）</w:t>
            </w: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</w:tc>
        <w:tc>
          <w:tcPr>
            <w:tcW w:w="6481" w:type="dxa"/>
            <w:gridSpan w:val="4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岗位要求：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电子商务、物流管理、旅游管理、酒店管理等相关专业（条件优秀者，非专业也可）普通话过关，细致耐心，能耐心地解答客户问题；认真负责，熟练使用Office办公软件。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572" w:type="dxa"/>
            <w:vMerge w:val="continue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4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总经理助理</w:t>
            </w:r>
          </w:p>
          <w:p>
            <w:pPr>
              <w:spacing w:line="320" w:lineRule="exact"/>
              <w:jc w:val="both"/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  <w:t>10人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48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岗位要求：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文秘、行政管理、工商管理等相关专业（条件优秀者，非专业也可）工作有条理，细致、认真、有责任心，办事严谨；完成总经理布置的任务 把何地市场的情况上报至总经理；并组织策划总监会议以及总经理会议；要求负责，踏实，能接受出差，责任心强。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572" w:type="dxa"/>
            <w:vMerge w:val="continue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4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新媒体运营（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  <w:t>5人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481" w:type="dxa"/>
            <w:gridSpan w:val="4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岗位要求：</w:t>
            </w:r>
            <w:r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instrText xml:space="preserve"> HYPERLINK "https://www.baidu.com/s?wd=%E6%B1%89%E8%AF%AD%E8%A8%80%E6%96%87%E5%AD%A6&amp;from=1012015a&amp;fenlei=mv6quAkxTZn0IZRqIHckPjm4nH00T1dBuH79uhDkPyD1nAn3uWIb0ZwV5Hcvrjm3rH6sPfKWUMw85HfYnjn4nH6sgvPsT6KdThsqpZwYTjCEQLGCpyw9Uz4Bmy-bIi4WUvYETgN-TLwGUv3EPj04PjfYP1T1" \t "https://zhidao.baidu.com/question/_blank" </w:instrText>
            </w:r>
            <w:r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汉语言文学</w:t>
            </w:r>
            <w:r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、传播学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instrText xml:space="preserve"> HYPERLINK "https://www.baidu.com/s?wd=%E5%85%AC%E5%85%B1%E5%85%B3%E7%B3%BB%E5%AD%A6&amp;from=1012015a&amp;fenlei=mv6quAkxTZn0IZRqIHckPjm4nH00T1dBuH79uhDkPyD1nAn3uWIb0ZwV5Hcvrjm3rH6sPfKWUMw85HfYnjn4nH6sgvPsT6KdThsqpZwYTjCEQLGCpyw9Uz4Bmy-bIi4WUvYETgN-TLwGUv3EPj04PjfYP1T1" \t "https://zhidao.baidu.com/question/_blank" </w:instrText>
            </w:r>
            <w:r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公共关系学</w:t>
            </w:r>
            <w:r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、新闻学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学等相关专业（条件优秀者，非专业也可）；有过完整的新媒体运营项目经验；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独立操作公众号、服务号；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72" w:type="dxa"/>
            <w:vMerge w:val="continue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4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活动主持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  <w:t>/会务专员</w:t>
            </w: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  <w:t>（5人）</w:t>
            </w:r>
          </w:p>
        </w:tc>
        <w:tc>
          <w:tcPr>
            <w:tcW w:w="6481" w:type="dxa"/>
            <w:gridSpan w:val="4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岗位要求：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播音主持、市场营销等相关专业（条件优秀者，非专业也可）；普通话过关，认真细致，吃苦耐劳，有一定沟通能力、语言组织能力、亲和力；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72" w:type="dxa"/>
            <w:vMerge w:val="restart"/>
            <w:vAlign w:val="top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both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市场部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招聘职位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销售代表</w:t>
            </w: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  <w:t>20人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）</w:t>
            </w:r>
          </w:p>
          <w:p>
            <w:pPr>
              <w:spacing w:line="320" w:lineRule="exact"/>
              <w:jc w:val="both"/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6481" w:type="dxa"/>
            <w:gridSpan w:val="4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岗位要求：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市场营销等相关专业（条件优秀者，非专业也可）踏实肯干，有上进心，具备良好的客户服务意识，愿意在营养健康食品行业长期发展。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72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薪资范围</w:t>
            </w: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</w:tc>
        <w:tc>
          <w:tcPr>
            <w:tcW w:w="7807" w:type="dxa"/>
            <w:gridSpan w:val="6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试用期2个月,月薪有责底薪4800+销售额提成(上不封顶),转正后有责底薪6200+销售额提成(上不封顶)，后期表现优异即可晋升到相关管理岗位。综合工资：4800元-10000元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72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薪资构成</w:t>
            </w: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</w:tc>
        <w:tc>
          <w:tcPr>
            <w:tcW w:w="7807" w:type="dxa"/>
            <w:gridSpan w:val="6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基本工资+销售提成+绩效奖金+团队管理提成+年终分红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2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个人职业发展状况描述</w:t>
            </w:r>
          </w:p>
        </w:tc>
        <w:tc>
          <w:tcPr>
            <w:tcW w:w="7807" w:type="dxa"/>
            <w:gridSpan w:val="6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销售代表→销售主管→销售经理→营销总监→市场部总经理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718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福利情况</w:t>
            </w:r>
          </w:p>
        </w:tc>
        <w:tc>
          <w:tcPr>
            <w:tcW w:w="7807" w:type="dxa"/>
            <w:gridSpan w:val="6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1、免费提供住宿；</w:t>
            </w:r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2、员工住宿（2—3人/间，冷暖空调、热水器、洗衣机、独立卫生间、独立厨房、网线（无线wifi）、衣柜、办公桌椅）； </w:t>
            </w:r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3、正式毕业即签订劳动合同公司购买五险一金、享受法定假日、带薪年假、年终奖励、各类精彩文化活动、年终晚会以及专业素质拓展训练；</w:t>
            </w:r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4、定期部门聚餐、年底带薪旅游；</w:t>
            </w:r>
          </w:p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年底长假，15天左右。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718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  <w:lang w:eastAsia="zh-CN"/>
              </w:rPr>
              <w:t>总部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地址</w:t>
            </w:r>
          </w:p>
        </w:tc>
        <w:tc>
          <w:tcPr>
            <w:tcW w:w="7807" w:type="dxa"/>
            <w:gridSpan w:val="6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南京市雨花台区凤集大道15号创业创新城北柚15，垦荒人历史纪念馆。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718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公司官网</w:t>
            </w:r>
          </w:p>
        </w:tc>
        <w:tc>
          <w:tcPr>
            <w:tcW w:w="7807" w:type="dxa"/>
            <w:gridSpan w:val="6"/>
            <w:vAlign w:val="center"/>
          </w:tcPr>
          <w:p>
            <w:pPr>
              <w:pStyle w:val="5"/>
              <w:spacing w:before="100" w:after="100" w:line="320" w:lineRule="exact"/>
              <w:textAlignment w:val="baseline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  <w:instrText xml:space="preserve"> HYPERLINK "http://www.kenhuangren.com"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  <w:t>www.kenhuangren.com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ban Jungle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Herkules">
    <w:altName w:val="Vrinda"/>
    <w:panose1 w:val="02000400000000000000"/>
    <w:charset w:val="00"/>
    <w:family w:val="auto"/>
    <w:pitch w:val="default"/>
    <w:sig w:usb0="00000000" w:usb1="00000000" w:usb2="00000000" w:usb3="00000000" w:csb0="20000111" w:csb1="4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font4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FZHTJW--GB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站酷高端黑">
    <w:altName w:val="黑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腾祥金砖黑繁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造字工房雅圆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逼格青春粗黑体简2.0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-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迷你简剪纸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Forte">
    <w:altName w:val="Mongolian Baiti"/>
    <w:panose1 w:val="03060902040502070203"/>
    <w:charset w:val="00"/>
    <w:family w:val="auto"/>
    <w:pitch w:val="default"/>
    <w:sig w:usb0="00000000" w:usb1="00000000" w:usb2="00000000" w:usb3="00000000" w:csb0="2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Palace Script MT">
    <w:altName w:val="Mongolian Baiti"/>
    <w:panose1 w:val="030303020206070C0B05"/>
    <w:charset w:val="00"/>
    <w:family w:val="auto"/>
    <w:pitch w:val="default"/>
    <w:sig w:usb0="00000000" w:usb1="00000000" w:usb2="00000000" w:usb3="00000000" w:csb0="2000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A2FF5"/>
    <w:rsid w:val="025E003B"/>
    <w:rsid w:val="051D553B"/>
    <w:rsid w:val="1B6D2F80"/>
    <w:rsid w:val="3F703480"/>
    <w:rsid w:val="3F9A2F4F"/>
    <w:rsid w:val="42AA2AC8"/>
    <w:rsid w:val="4FA83D70"/>
    <w:rsid w:val="5429700C"/>
    <w:rsid w:val="560342A2"/>
    <w:rsid w:val="5EBD6755"/>
    <w:rsid w:val="6B615EBD"/>
    <w:rsid w:val="6CDE310C"/>
    <w:rsid w:val="6D535020"/>
    <w:rsid w:val="70B3564C"/>
    <w:rsid w:val="744A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jc w:val="both"/>
    </w:pPr>
    <w:rPr>
      <w:rFonts w:ascii="Times New Roman" w:hAnsi="Times New Roman" w:eastAsia="ヒラギノ角ゴ Pro W3" w:cs="Times New Roman"/>
      <w:color w:val="000000"/>
      <w:kern w:val="2"/>
      <w:sz w:val="21"/>
      <w:lang w:val="en-US" w:eastAsia="zh-CN" w:bidi="ar-SA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2018-10-08T06:57:00Z</dcterms:created>
  <dc:creator>请你吃</dc:creator>
  <cp:lastModifiedBy>Administrator</cp:lastModifiedBy>
  <dcterms:modified xsi:type="dcterms:W3CDTF">2018-11-09T02:05:49Z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